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D2" w:rsidRDefault="00437E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37ED2" w:rsidRDefault="00C8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437ED2" w:rsidRDefault="00437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37ED2" w:rsidRDefault="00C86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ВИЩИЙ НАВЧАЛЬНИЙ ЗАКЛАД</w:t>
      </w:r>
    </w:p>
    <w:p w:rsidR="00437ED2" w:rsidRDefault="00C86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«КИЇВСЬКИЙ КОЛЕДЖ ЛЕГКОЇ ПРОМИСЛОВОСТІ»</w:t>
      </w:r>
    </w:p>
    <w:p w:rsidR="00437ED2" w:rsidRDefault="00437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C86A2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ОСВІТНЬО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ПРОФЕСІЙНА ПРОГРАМА</w:t>
      </w:r>
    </w:p>
    <w:p w:rsidR="00437ED2" w:rsidRDefault="00C86A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Трикотажні вироби</w:t>
      </w:r>
    </w:p>
    <w:p w:rsidR="00437ED2" w:rsidRDefault="00437E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D2" w:rsidRDefault="00437E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37ED2">
        <w:tc>
          <w:tcPr>
            <w:tcW w:w="4785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4786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Виробництво та технології</w:t>
            </w:r>
          </w:p>
        </w:tc>
      </w:tr>
      <w:tr w:rsidR="00437ED2">
        <w:tc>
          <w:tcPr>
            <w:tcW w:w="4785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4786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Технології легкої промисловості</w:t>
            </w:r>
          </w:p>
        </w:tc>
      </w:tr>
      <w:tr w:rsidR="00437ED2">
        <w:tc>
          <w:tcPr>
            <w:tcW w:w="4785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Освітньо-професійний ступінь       </w:t>
            </w:r>
          </w:p>
        </w:tc>
        <w:tc>
          <w:tcPr>
            <w:tcW w:w="4786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 молодший бакалавр</w:t>
            </w:r>
          </w:p>
        </w:tc>
      </w:tr>
      <w:tr w:rsidR="00437ED2">
        <w:tc>
          <w:tcPr>
            <w:tcW w:w="4785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Кваліфікація</w:t>
            </w:r>
          </w:p>
        </w:tc>
        <w:tc>
          <w:tcPr>
            <w:tcW w:w="4786" w:type="dxa"/>
          </w:tcPr>
          <w:p w:rsidR="00437ED2" w:rsidRDefault="00C86A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 молодший бакалавр з технологій легкої промисловості</w:t>
            </w:r>
          </w:p>
        </w:tc>
      </w:tr>
    </w:tbl>
    <w:p w:rsidR="00437ED2" w:rsidRDefault="00437E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D2" w:rsidRDefault="00437E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D2" w:rsidRDefault="00C86A2E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437ED2" w:rsidRDefault="00437ED2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tblpX="4986" w:tblpY="64"/>
        <w:tblW w:w="6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5"/>
      </w:tblGrid>
      <w:tr w:rsidR="00437ED2">
        <w:trPr>
          <w:trHeight w:val="2112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ЗАТВЕРДЖЕНО: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Педагогічною радою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ДВНЗ «Київський 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коледж легкої промисловості»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Педагогічної ради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Ганна ЩУЦЬКА</w:t>
            </w:r>
          </w:p>
          <w:p w:rsidR="00437ED2" w:rsidRDefault="00437E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C86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 __ від __________р.)</w:t>
            </w:r>
          </w:p>
        </w:tc>
      </w:tr>
      <w:tr w:rsidR="00437ED2">
        <w:trPr>
          <w:trHeight w:val="194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437ED2" w:rsidRDefault="00437ED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37ED2" w:rsidRDefault="00437ED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37ED2" w:rsidRDefault="00437E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7ED2" w:rsidRDefault="00437E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7ED2" w:rsidRDefault="00437E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7ED2" w:rsidRDefault="00437E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C86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Освітньо-професійна програма вводиться в дію з _________ р.</w:t>
      </w:r>
    </w:p>
    <w:p w:rsidR="00437ED2" w:rsidRDefault="00C86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(Наказ № ___від ________р.)</w:t>
      </w:r>
    </w:p>
    <w:p w:rsidR="00437ED2" w:rsidRDefault="00437ED2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C86A2E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КИЇВ, 2020</w:t>
      </w:r>
    </w:p>
    <w:p w:rsidR="00437ED2" w:rsidRDefault="00C86A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br w:type="page"/>
      </w:r>
    </w:p>
    <w:p w:rsidR="00437ED2" w:rsidRDefault="00437ED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D2" w:rsidRDefault="00C86A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ПОГОДЖЕННЯ</w:t>
      </w:r>
    </w:p>
    <w:p w:rsidR="00437ED2" w:rsidRDefault="00C86A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 – професійної програми</w:t>
      </w:r>
    </w:p>
    <w:p w:rsidR="00437ED2" w:rsidRDefault="00437ED2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8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786"/>
      </w:tblGrid>
      <w:tr w:rsidR="00437ED2">
        <w:tc>
          <w:tcPr>
            <w:tcW w:w="5070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циклової комісії технологій легкої промисловості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«16» березня 2020 р.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ЦК ТЛП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Світлана СИРОТЕНКО </w:t>
            </w:r>
          </w:p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Методичної ради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еджу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 р.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Методичної ради 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Юрій ЩЕРБАНЬ </w:t>
            </w:r>
          </w:p>
        </w:tc>
      </w:tr>
      <w:tr w:rsidR="00437ED2">
        <w:tc>
          <w:tcPr>
            <w:tcW w:w="5070" w:type="dxa"/>
          </w:tcPr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5070" w:type="dxa"/>
          </w:tcPr>
          <w:p w:rsidR="00437ED2" w:rsidRDefault="00C86A2E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затверджено на засіданні Педагогічної ради Коледжу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 р.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Педагогічної ради 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Ганна ЩУЦЬКА</w:t>
            </w:r>
          </w:p>
        </w:tc>
        <w:tc>
          <w:tcPr>
            <w:tcW w:w="4786" w:type="dxa"/>
          </w:tcPr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5070" w:type="dxa"/>
          </w:tcPr>
          <w:p w:rsidR="00437ED2" w:rsidRDefault="00437ED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D2" w:rsidRDefault="00437ED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5070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Введено в дію наказом директора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«__» ____________ р. № ___</w:t>
            </w:r>
          </w:p>
          <w:p w:rsidR="00437ED2" w:rsidRDefault="00437ED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ED2" w:rsidRDefault="00437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ED2" w:rsidRDefault="00437ED2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437ED2">
          <w:footerReference w:type="default" r:id="rId8"/>
          <w:pgSz w:w="11906" w:h="16838"/>
          <w:pgMar w:top="709" w:right="850" w:bottom="851" w:left="1701" w:header="708" w:footer="708" w:gutter="0"/>
          <w:pgNumType w:start="1"/>
          <w:cols w:space="720"/>
          <w:titlePg/>
        </w:sectPr>
      </w:pPr>
    </w:p>
    <w:p w:rsidR="00437ED2" w:rsidRDefault="00C86A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437ED2" w:rsidRDefault="00C86A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Розроблено робочою групою викладачів циклової комісії технологій легкої промисловості ДВНЗ «Київський коледж легкої промисловості» у складі:</w:t>
      </w:r>
    </w:p>
    <w:p w:rsidR="00437ED2" w:rsidRDefault="00437ED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3"/>
        <w:tblW w:w="974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437ED2">
        <w:tc>
          <w:tcPr>
            <w:tcW w:w="4361" w:type="dxa"/>
          </w:tcPr>
          <w:p w:rsidR="00437ED2" w:rsidRDefault="00C86A2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Керівник:</w:t>
            </w:r>
          </w:p>
        </w:tc>
        <w:tc>
          <w:tcPr>
            <w:tcW w:w="5386" w:type="dxa"/>
          </w:tcPr>
          <w:p w:rsidR="00437ED2" w:rsidRDefault="00437ED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ED2">
        <w:tc>
          <w:tcPr>
            <w:tcW w:w="4361" w:type="dxa"/>
          </w:tcPr>
          <w:p w:rsidR="00437ED2" w:rsidRDefault="00C86A2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Наталія Ігорівна</w:t>
            </w:r>
          </w:p>
        </w:tc>
        <w:tc>
          <w:tcPr>
            <w:tcW w:w="5386" w:type="dxa"/>
          </w:tcPr>
          <w:p w:rsidR="00437ED2" w:rsidRDefault="00C86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відділення технологій, кандидат технічних наук, спеціаліст вищої кваліфікаційної категорії</w:t>
            </w:r>
          </w:p>
        </w:tc>
      </w:tr>
      <w:tr w:rsidR="00437ED2">
        <w:tc>
          <w:tcPr>
            <w:tcW w:w="4361" w:type="dxa"/>
          </w:tcPr>
          <w:p w:rsidR="00437ED2" w:rsidRDefault="00C86A2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Члени:</w:t>
            </w:r>
          </w:p>
        </w:tc>
        <w:tc>
          <w:tcPr>
            <w:tcW w:w="5386" w:type="dxa"/>
          </w:tcPr>
          <w:p w:rsidR="00437ED2" w:rsidRDefault="0043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7ED2">
        <w:tc>
          <w:tcPr>
            <w:tcW w:w="4361" w:type="dxa"/>
          </w:tcPr>
          <w:p w:rsidR="00437ED2" w:rsidRDefault="00C86A2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Щербань Юрій Юрійович</w:t>
            </w:r>
          </w:p>
        </w:tc>
        <w:tc>
          <w:tcPr>
            <w:tcW w:w="5386" w:type="dxa"/>
          </w:tcPr>
          <w:p w:rsidR="00437ED2" w:rsidRDefault="00C86A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200" w:line="276" w:lineRule="auto"/>
              <w:ind w:left="0" w:firstLine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Лауреат Державної премії України в галузі науки і техніки 2017 року, заступник директора з навчально-методичної роботи, доктор технічних наук, професор, спеціаліст вищої кваліфікаційної категорії, викладач-методист.</w:t>
            </w:r>
          </w:p>
        </w:tc>
      </w:tr>
      <w:tr w:rsidR="00437ED2">
        <w:tc>
          <w:tcPr>
            <w:tcW w:w="4361" w:type="dxa"/>
          </w:tcPr>
          <w:p w:rsidR="00437ED2" w:rsidRDefault="00C86A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Чорногор Наталія Михайлівна </w:t>
            </w:r>
          </w:p>
        </w:tc>
        <w:tc>
          <w:tcPr>
            <w:tcW w:w="5386" w:type="dxa"/>
          </w:tcPr>
          <w:p w:rsidR="00437ED2" w:rsidRDefault="00C86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 w:firstLine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викладач спецдисциплін, спеціаліст вищої категорії, викладач-методист </w:t>
            </w:r>
          </w:p>
        </w:tc>
      </w:tr>
      <w:tr w:rsidR="00437ED2">
        <w:tc>
          <w:tcPr>
            <w:tcW w:w="4361" w:type="dxa"/>
          </w:tcPr>
          <w:p w:rsidR="00437ED2" w:rsidRDefault="00C86A2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Сиротенко Світлана Миколаївна </w:t>
            </w:r>
          </w:p>
        </w:tc>
        <w:tc>
          <w:tcPr>
            <w:tcW w:w="5386" w:type="dxa"/>
          </w:tcPr>
          <w:p w:rsidR="00437ED2" w:rsidRDefault="00C86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циклової комісії технологій легкої промисловості, спеціаліст вищої кваліфікаційної категорії</w:t>
            </w:r>
          </w:p>
        </w:tc>
      </w:tr>
    </w:tbl>
    <w:p w:rsidR="00437ED2" w:rsidRDefault="00437ED2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37ED2" w:rsidRDefault="00437E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37ED2">
          <w:pgSz w:w="11906" w:h="16838"/>
          <w:pgMar w:top="1134" w:right="850" w:bottom="1134" w:left="1560" w:header="567" w:footer="567" w:gutter="0"/>
          <w:cols w:space="720"/>
        </w:sectPr>
      </w:pPr>
    </w:p>
    <w:p w:rsidR="00437ED2" w:rsidRDefault="00C86A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ОСВІТНЯ СКЛАДОВА</w:t>
      </w:r>
    </w:p>
    <w:p w:rsidR="00437ED2" w:rsidRDefault="00C86A2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Профіль освітньої-професійної програми </w:t>
      </w:r>
    </w:p>
    <w:p w:rsidR="00437ED2" w:rsidRDefault="00C86A2E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«Трикотажні вироби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фахового молодшого бакалавра</w:t>
      </w:r>
    </w:p>
    <w:p w:rsidR="00437ED2" w:rsidRDefault="00C86A2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зі спеціальності 182 «Технології легкої промисловості»</w:t>
      </w:r>
    </w:p>
    <w:tbl>
      <w:tblPr>
        <w:tblStyle w:val="af4"/>
        <w:tblW w:w="97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6265"/>
      </w:tblGrid>
      <w:tr w:rsidR="00437ED2">
        <w:trPr>
          <w:trHeight w:val="184"/>
        </w:trPr>
        <w:tc>
          <w:tcPr>
            <w:tcW w:w="9712" w:type="dxa"/>
            <w:gridSpan w:val="2"/>
          </w:tcPr>
          <w:p w:rsidR="00437ED2" w:rsidRDefault="00C86A2E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інформація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ДВНЗ «Київський коледж легкої промисловості»,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циклова комісія технологій легкої промисловості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Початковий рівень вищої освіти, фаховий молодший бакалавр з технологій легкої промисловості,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технік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 (текстильна та легка промисловість)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Трикотажні  вироби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Одиничний ступінь, 180 кредитів ЄКТС, термін навчання 2 роки 10 місяців (3 роки 10 місяців)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Наявність акредитації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 про акредитацію спеціальності Серія КД-1, №11006046, (Наказ МОН України від 14.03.2016 №434л), (на підставі наказу МОН України від 19.12.2016 № 1565)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Цикл/рівень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«Про вищу освіту» - молодший спеціаліст, Національна рамка кваліфіка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цій України – 5 рівень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Передумови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загальна середня освіта / повна загальна середня освіта / кваліфікований робітник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Мова(и) викладання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жестова мова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2026 року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http://www.kklp.kiev.ua</w:t>
            </w:r>
          </w:p>
          <w:p w:rsidR="00437ED2" w:rsidRDefault="00437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– Мета освітньої програми</w:t>
            </w: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Надати освіту у сфері виробництва трикотажних виробів,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широким доступом до працевлаштування.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особистості фахівця, здатного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різносторонньої професійної діяльності в галузі технологій легкої промисловості; формування та розвиток загальних і професійних компетентностей для проектування конкурентоспроможних трикотажних виробів і технологічних процесів їх виготовлення.</w:t>
            </w: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– Хара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ктеристика освітньої програми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Предметна область </w:t>
            </w:r>
          </w:p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(Трикотажні виробів)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Обсяг обов’язкових компонентів загальної підготовки – 47 кред. (26,1%); обсяг обов’язкових компонентів професійної підготовки –64 кред. (35,6%); обсяг обов’язкових компонентів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практичної підготовки – 36 кред. (20%); загальний обсяг вибіркових компонентів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кред. (15%); екзаменаційна сесія – 6 кред. (3,3%)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Орієнтація освітньої програми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базується на загальновідомих уявленнях про сучасний стан проектування трикотажних виробів з урахуванням специфіки роботи підприємств галузі, орієнтує на актуальні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спеціалізації, у рамках яких можлива подальша професійна кар’єра.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Основний фокус освітньої програми та спеціалізації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програма: Трикотажні вироби. Програма орієнтована на базовій освіті підготовки фахівців до професійної діяльності у сфері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ування і виготовлення трикотажних виробів, в рамках яких студент визначає подальшу професійну та наукову кар’єру, що базується на інтеграції технологічної підготовки фахівця.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Особливості програми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Орієнтована на сучасні досягнення в галузі легкої промислов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ості, наукові дослідження в напрямку технологій легкої промисловості та комп’ютерного проектування одягу з врахуванням естетичних, екологічних, ресурсозберігаючих та економічних параметрів.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забезпечує навчання студентів за дуальною формою навчання, проходження виробничої практики та стажування на сучасних трикотажних підприємствах та за кордоном.</w:t>
            </w: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4 - Придатність випускників до працевлаштування та подальшого навчання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Придатність 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працевлаштування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Фахівець здатний виконувати зазначену професійну роботу (згідно з Державним класифікатором України ДК 003:2010) і займатися професійною діяльністю на промислових підприємствах і організаціях трикотажної галузі легкої промисловості, на підп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риємствах сервісного індивідуального виготовлення одягу та індустрії моди і займати первинні посади техніка-технолога, технолога-наставника, техніка-конструктора, техніка-проектувальника, техніка з підготовки технічної документації, конструктора, диспетчер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виробництва, техніка з підготовки виробництва, майстра виробничої ділянки, майстра виробничого навчання на підприємствах галузі, інспектора з контролю якості продукції, не залежно від форм власності. Займати робочі місця в компаніях України та Європи.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одальше навчання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навчання за програмою першого та другого циклів вищої освіти за цією галуззю знань (що узгоджується з отриманим дипломом фахового молодшого бакалавра) бакалаврські, магістерські (освітньо-наукові/освітньо-професійні) програми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щої освіти.</w:t>
            </w: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5 - Викладання та оцінювання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Викладання та навчання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Основний підхід: проблемно-орієнтовний, компетентнісний з елементами самонавчання.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викладання: лекції, лабораторні та практичні заняття, семінари, самостійна робота, консультації із викладачами, навчальна практика, виробнича практика, елементи дистанційного навчання, підготовка курсових робіт, проектів, дипломне проектування, дуал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 освіта.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 технології: інтерактивні, інформаційно-комунікаційні, проектного навчання, розвитку критичного мислення, навчання як дослідження.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Оцінювання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оцінювання (іспити, тестування знань, проектні роботи, презентації, контрольні роботи).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Формативні: вхідний та поточний контроль, проміжна атестація, звіти до лабораторних робіт, звіти про практику, захист курсових робіт, проектів, проміжна атестація. Сумативні (підсумковий контроль): семестровий контроль, заліки, усні та письмові іспити,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хист дипломних проектів.</w:t>
            </w: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6 - Програмні компетентності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Інтегральна компетентність (ІК)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 - Здатність розв’язувати складні спеціалізовані задачі та практичні проблеми з проектування виробів легкої промисловості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 у процесі навчання, що передбачає застосування певних теорій та методів відповідної науки і характеризується комплексністю та невизначеністю умов, а саме – формування та розвиток проектно-професійних компетентностей.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6265" w:type="dxa"/>
          </w:tcPr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ЗК1 - Здатність до аналізу та синтезу.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до узагальнення, сприйняття інформації, аналізу та синтезу на основі логічних аргументів та перевірених фактів, постановки поточної та кінцевої мети у виробничій діяльності.</w:t>
            </w:r>
          </w:p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ЗК2 - Гнучкість мислення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ість до застосування теоретичних професійних знань та компетентностей у широкому діапазоні можливих місць роботи та повсякденному житті.</w:t>
            </w:r>
          </w:p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ЗК3 - Комунікаційні навички.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до ефективного комунікування та до представлення складної комплексної інформації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стислій формі усно та письмово, використовуючи інформаційно-комунікаційні технології та відповідні технічні терміни.</w:t>
            </w:r>
          </w:p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ЗК4 - Навички в галузі сучасних інформаційних технологій. Використання інформаційних та комунікаційних технологій для вирішення експерим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ентальних та практичних завдань в галузі професійної діяльності.</w:t>
            </w:r>
          </w:p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ЗК5 - Знання та розуміння предметної області та розуміння професійної діяльності.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основ проектування та технологічних процесів їх виготовлення в легкій промисловості. Сучасні уявлення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засоби професійного мислення, які поєднують сукупність важливих якостей образності, просторовості, системності, технологічності, комунікативності, креативності, конкурентності та інноваційності. </w:t>
            </w:r>
          </w:p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ЗК6 - Здатність вчитися і оволодівати сучасними знаннями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Прагнення до саморозвитку, підвищення своєї кваліфікації і майстерності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удосконалення професійної діяльності фахівця у легкій промисловості. </w:t>
            </w:r>
          </w:p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ЗК7 - Навики здійснення безпечної діяльності. Здатність до ефективного вирішення завдань професійної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обов’язковим урахуванням вимог охорони праці та гарантуванням збереження життя, здоров’я та працездатності у професійній діяльності.</w:t>
            </w:r>
          </w:p>
          <w:p w:rsidR="00437ED2" w:rsidRDefault="00C86A2E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ЗК8 - Етичні установки. Дотримання етичних норм відносно інших людей і природи (принципи біоетики) з точки зору професій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ної чесності та розуміння можливого впливу досягнень у технологіях легкої промисловості на соціальну сферу.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265" w:type="dxa"/>
            <w:shd w:val="clear" w:color="auto" w:fill="auto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ФК1 - Навики з фундаментальних дисциплін.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до трансферу набутих знань з фундаментальних наук в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воєнні загально-професійних дисциплін, здатність використовувати їх методи в обраній професії.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ФК2 - Проектні навички. Здатність використовувати математичний апарат для освоєння теоретичних основ і практичного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застосування методів проектування та оцінки 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вня якості виробів легкої промисловості.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ФК3 - Навички оцінювання.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застосовувати сучасні експериментальні методи для визначення характеристик матеріалів та виробів легкої промисловості і знаходити відповідні рішення щодо підвищення їх якості. 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4 - Ініціативність. Здатність описати широке коло технологічних об’єктів та процесів, починаючи від цілісного процесу проектування виробів та закінчуючи складовими його частинами, вирішити питання розробки оптимальної технології виготовлення виробів різног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призначення за видами економічної діяльності. 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ФК5 - Здатність до трансферу професійних знань у практичних ситуаціях. Здатність до організації та впровадження процесів проектування і 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трикотажних виробів Набуття навичок попередження та усуне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ння причин конструкторсько-технологічних порушень.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ФК6 - Здатність аналізувати та організовувати процеси виробництва.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основних етапів проектно-технологічних робіт у легкій промисловості. Здатність до організації проектного та творчого процесу, розвиток творчого мислення та пошук нових креативних проектних рішень.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ФК7 - Розв’язання проблем.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розв’язувати широке коло спеціалізованих проблем та задач у професійній діяльності шляхом розуміння їх фундаментальних основ та використання засвоєних теоретичних та експериментальних методів.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ФК8 - Володіння професійною термінологією. Здатність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 знання головних аспектів використання термінології з технології виробництва трикотажу, матеріалознавства, конструювання, технологічних процесів виготовлення трикотажних виробів легкої промисловості, та номенклатури показників якості українськ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 та іноземною мовами.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ФК9 - Незалежність та ініціативність у прийнятті професійних рішень. Здатність використовувати знання й практичні навички щодо техніко-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економічного обґрунтування вибору матеріалів, устаткування технологічних об'єктів, споживних влас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тивостей, асортименту та оптимізації їх функціонування.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ФК10 - Володіння навичками управління інформацією.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використовувати основні методи, способи та засоби отримання, зберігання, переробки інформації для вирішення завдань в галузі професійної 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яльності, прогнозування рівня якості на усіх етапах проектування, виготовлення та/або реалізації виробів різного призначення за видами економічної діяльності.</w:t>
            </w: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– Програмні результати навчання (ПРН)</w:t>
            </w: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ПРН1 - Демонструвати професійно-профільовані знання й практичні навички в галузі фундаментальних наук у ході дослідження явищ та процесів проектування виробів легкої промисловості.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ПРН2 - Здатність використовувати інформаційні системи та технології для 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експериментальних та практичних виробничих завдань у професійній діяльності.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ПРН3 - Демонструвати ділові комунікації у професійній сфері, знання основ ділового спілкування, навички роботи в команді, уміння вести дискусію й навчати основам технології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виробів легкої промисловості.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ПРН4 - Здатність продемонструвати експериментальні навички для визначення характеристик та рівня якості виробів легкої промисловості у лабораторних умовах за допомогою сучасних методів, навички роботи із сучасною апаратурою. 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ПРН5 - Володіти професійною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термінологією та основними поняттями з технології виробництва, матеріалознавства, конструювання, , технологічних процесів виготовлення виробів легкої промисловості, номенклатури показників якості. 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ПРН6 - Володіти методами опис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у, ідентифікації та класифікації об’єктів легкої промисловості, мати сучасні уявлення про принципи структурної і функціональної організації процесу проектування.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ПРН7 - Демонструвати знання технології виробів легкої промисловості, включаючи здійснення конс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трукторського та техніко-економічного їх проектування.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ПРН8 - Здатність визначити напрями підвищення ефективності технологічних процесів виготовлення виробів легкої промисловості (трикотажні вироби).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ПРН9 - Здатність застосовувати комп’ютерні технології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вирішення проектуючих проблем, використовуючи належне програмне забезпечення, знання  з аналізу та відображення результатів.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ПРН10 - Демонструвати професійні навички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(лабораторні роботи, включаючи навички лідерства при їх виконанні  - здатність до комуні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кативності), уміння отримати результат у рамках обмеженого часу з наголосом на професійну сумлінність.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ПРН11 - Демонструвати навички письмової та усної професійної комунікації державною (жестовою) й іноземною мовами, а також належного використання професій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ної термінології.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ПРН12 - Виконувати інженерні розрахунки, дотримуючись чинних нормативних документів при проектуванні, виготовленні та реалізації виробів різного призначення за видами економічної діяльності.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ПРН13 - Здатність формувати структуру асортимен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 виробів легкої промисловості (трикотажні вироби) у відповідності до їх цільового призначення на базі набутих знань про різноманітність сировини і матеріалів та закономірностей виконання проектних рішень.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ПРН14 - Знаходити конструктивні рішення щодо виго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товлення виробів легкої промисловості (трикотажні вироби) на основі спеціальних знань з технології виробництва, матеріалознавства, конструювання, товарознавства, що передбачає збирання та інтерпретацію інформації, вибір методів та інструментів.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ПРН15 - 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тність використовувати набуті теоретичні професійні знання у широкому діапазоні можливих місць працевлаштування у сфері виробництва, реалізації та експертної оцінки товарів легкої промисловості (трикотажні вироби) та діяти на основі етичних міркувань відно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 інших людей і природи (принципи біоетики), розуміючи вплив досягнень у технологіях легкої промисловості на соціальну сферу.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ПРН16 - Вміння визначати відповідність якості виробів вимогам законодавчо-правових актів та ефективно реалізовувати цільові крит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ерії асортиментної структури.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ПРН17 - Здатність  ефективно вирішувати завдання професійної діяльності з обов’язковим урахуванням вимог охорони праці та гарантуванням збереження життя, здоров’я та працездатності у професійній діяльності.</w:t>
            </w:r>
          </w:p>
          <w:p w:rsidR="00437ED2" w:rsidRDefault="00C86A2E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ПРН18 - Здатність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астосовувати економічні основи структурної функціональності організації виробництва та реалізації виробів різного призначення.</w:t>
            </w:r>
          </w:p>
          <w:p w:rsidR="00437ED2" w:rsidRDefault="00437ED2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9712" w:type="dxa"/>
            <w:gridSpan w:val="2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 – Ресурсне забезпечення реалізації програми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Кадрове забезпечення</w:t>
            </w:r>
          </w:p>
        </w:tc>
        <w:tc>
          <w:tcPr>
            <w:tcW w:w="6265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Науково-педагогічний склад комплектується, виходячи з фахової підготовки, кваліфікації та досвіду педагогічної роботи, проводить педагогічну роботу в межах встановлених норм та забезпечують викладання дисциплін у відповідності зі своєю кваліфікацією і 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іальністю. Педагогічний колектив має позитивний досвід планування і організації навчального процесу. Постійно вдосконалюються форми і методи організації навчального процесу, проведення занять, організації самостійної роботи студентів, спільна діяльність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леджу з базовими підприємствами та закладами освіти ІІІ-ІV рівня акредитації.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Матеріально-технічне забезпечення</w:t>
            </w:r>
          </w:p>
        </w:tc>
        <w:tc>
          <w:tcPr>
            <w:tcW w:w="6265" w:type="dxa"/>
          </w:tcPr>
          <w:p w:rsidR="00437ED2" w:rsidRDefault="00C86A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Матеріально-технічне забезпечення (використання сучасного лабораторного та навчального технологічного устаткування, сучасних комп’ютерних засоб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ів та програмно-інформаційного забезпечення)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існуючим нормативним актам. </w:t>
            </w:r>
          </w:p>
          <w:p w:rsidR="00437ED2" w:rsidRDefault="00C86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ово-виробничий центр (цехи з трикотажним та швейним обладнанням, де студенти проходять всі види практики) є навчальною і виробничою базою коледжу, що забезпечує поєднання виробничого навчання студентів з продуктивною працею.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Цех оснащений необхідним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огічним обладнанням для виробництва трикотажних полотен та трикотажних виробів.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цеху надаються послуги з ремонту і  ведеться навчання з індивідуального виготовлення одягу. На базі науково-виробничого центру здійснює свою роботу студентський будинок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ей, де студенти мають можливість розробляти та виготовляти вироби за індивідуальними замовленнями.</w:t>
            </w:r>
          </w:p>
        </w:tc>
      </w:tr>
      <w:tr w:rsidR="00437ED2">
        <w:tc>
          <w:tcPr>
            <w:tcW w:w="3447" w:type="dxa"/>
          </w:tcPr>
          <w:p w:rsidR="00437ED2" w:rsidRDefault="00C86A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Інформаційне та навчально-методичне забезпечення</w:t>
            </w:r>
          </w:p>
        </w:tc>
        <w:tc>
          <w:tcPr>
            <w:tcW w:w="6265" w:type="dxa"/>
          </w:tcPr>
          <w:p w:rsidR="00437ED2" w:rsidRDefault="00C86A2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 дисципліни освітньої програми забезпечені відповідним навчально-методичним комплексом (НМК): витяг з навчального плану; навчальна програма з дисципліни; робоча навчальна програма з дисципліни; програми всіх видів практик, що передбачені навчальним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ом; плани занять; навчально-наочні посібники, технічні засоби навчання; інструктивно-методичні матеріали до семінарських, практичних, лабораторних занять та самостійної роботи; комплекс контрольних робіт, передбачених навчальним планом та контрольні завдан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(тести) до семінарських, практичних і лабораторних занять; завдання для виконання курсового проекту (роботи), дипломного проекту.</w:t>
            </w:r>
          </w:p>
          <w:p w:rsidR="00437ED2" w:rsidRDefault="00C8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навчальному процесі широко використовуються демонстраційні навчаючі програми, електронні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підручники, завдання в електронн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ому вигляді. Наявність сучасних навчальних і спеціальних комп’ютерних програм, достатня кількість персональних комп’ютерів дозволяють студентам реалізувати навики та уміння в процесі вивчення різних дисциплін для проведення розрахунків, виконання індивідуа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льних завдань, розробки ділової документації, підготовки різноманітних форм документів з використанням відповідних програмних засобів, комп’ютерної бази даних.</w:t>
            </w:r>
          </w:p>
        </w:tc>
      </w:tr>
    </w:tbl>
    <w:p w:rsidR="00437ED2" w:rsidRDefault="00437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D2" w:rsidRDefault="00437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D2" w:rsidRDefault="00C86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437ED2" w:rsidRDefault="00437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37ED2" w:rsidRDefault="00C86A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освітніх компонентів ОПП</w:t>
      </w:r>
    </w:p>
    <w:p w:rsidR="00437ED2" w:rsidRDefault="00437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f5"/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5415"/>
        <w:gridCol w:w="1200"/>
        <w:gridCol w:w="2025"/>
      </w:tblGrid>
      <w:tr w:rsidR="00437ED2" w:rsidTr="008A471C">
        <w:tc>
          <w:tcPr>
            <w:tcW w:w="1065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5415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освітньо-професійної програми (навчальні дисципліни, курсова робота, практики, державний екзамен)</w:t>
            </w:r>
          </w:p>
        </w:tc>
        <w:tc>
          <w:tcPr>
            <w:tcW w:w="1200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2025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437ED2" w:rsidTr="008A471C">
        <w:tc>
          <w:tcPr>
            <w:tcW w:w="1065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37ED2" w:rsidRPr="008A471C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ED2" w:rsidTr="008A471C">
        <w:tc>
          <w:tcPr>
            <w:tcW w:w="9705" w:type="dxa"/>
            <w:gridSpan w:val="4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1.Обов’язкові компоненти ОПП</w:t>
            </w:r>
          </w:p>
        </w:tc>
      </w:tr>
      <w:tr w:rsidR="00437ED2" w:rsidTr="008A471C">
        <w:tc>
          <w:tcPr>
            <w:tcW w:w="9705" w:type="dxa"/>
            <w:gridSpan w:val="4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 Цикл загальної підготовки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України* ( Україна і світ)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2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за ПС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3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Економічна теорія* (Громадянська освіта)</w:t>
            </w:r>
          </w:p>
        </w:tc>
        <w:tc>
          <w:tcPr>
            <w:tcW w:w="1200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правознавства*(Громадянська освіта)</w:t>
            </w:r>
          </w:p>
        </w:tc>
        <w:tc>
          <w:tcPr>
            <w:tcW w:w="1200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мова за ПС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Мистецтво* (Cпецмалюнок)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креслення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ІКТ* (Інформатика)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 математика*(Математика)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екології* (Природничі науки)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rPr>
          <w:trHeight w:val="540"/>
        </w:trPr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зичне виховання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9705" w:type="dxa"/>
            <w:gridSpan w:val="4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Цикл професійної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 практичної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підготовки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 виробництва (Технології)*, КП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Матеріалознавство*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Конструювання виробів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виробництва, КП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 та організація діяльності підприємств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Охорона праці та БЖД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практика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Виробнича практика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Переддипломна практика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Дипломне проектування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025" w:type="dxa"/>
          </w:tcPr>
          <w:p w:rsidR="00437ED2" w:rsidRDefault="00437ED2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7ED2" w:rsidRDefault="00C86A2E" w:rsidP="008A47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 дипломного проекту (ДКК)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25" w:type="dxa"/>
          </w:tcPr>
          <w:p w:rsidR="00437ED2" w:rsidRDefault="008A471C" w:rsidP="008A471C">
            <w:pPr>
              <w:widowControl w:val="0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Захист </w:t>
            </w:r>
            <w:r w:rsidR="00C86A2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кваліфікаційної роботи</w:t>
            </w:r>
          </w:p>
        </w:tc>
      </w:tr>
      <w:tr w:rsidR="00437ED2" w:rsidTr="008A471C">
        <w:tc>
          <w:tcPr>
            <w:tcW w:w="6480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обов’язкових компонентів:</w:t>
            </w:r>
          </w:p>
        </w:tc>
        <w:tc>
          <w:tcPr>
            <w:tcW w:w="3225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437ED2" w:rsidTr="008A471C">
        <w:trPr>
          <w:trHeight w:val="495"/>
        </w:trPr>
        <w:tc>
          <w:tcPr>
            <w:tcW w:w="9705" w:type="dxa"/>
            <w:gridSpan w:val="4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Вибіркові компоненти ОПП</w:t>
            </w:r>
          </w:p>
        </w:tc>
      </w:tr>
      <w:tr w:rsidR="00437ED2" w:rsidTr="008A471C">
        <w:tc>
          <w:tcPr>
            <w:tcW w:w="9705" w:type="dxa"/>
            <w:gridSpan w:val="4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 За вибором закладу освіти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1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Комп'ютерна графіка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ВБ 2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Комп'ютерне проектування виробів (САПР)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ВБ 3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Конфекціонування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4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Ділова англійська мова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5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6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Культурологія (культура глухих)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7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Технічна механіка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8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підприємницької діяльності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9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Стандартизація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rPr>
          <w:trHeight w:val="320"/>
        </w:trPr>
        <w:tc>
          <w:tcPr>
            <w:tcW w:w="9705" w:type="dxa"/>
            <w:gridSpan w:val="4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За вибором здобувачів освіти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10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1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11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2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12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3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13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4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ВБ 14 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5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15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6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16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7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1065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17</w:t>
            </w:r>
          </w:p>
        </w:tc>
        <w:tc>
          <w:tcPr>
            <w:tcW w:w="541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7ED2" w:rsidRDefault="00C86A2E" w:rsidP="008A4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8</w:t>
            </w:r>
          </w:p>
        </w:tc>
        <w:tc>
          <w:tcPr>
            <w:tcW w:w="1200" w:type="dxa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25" w:type="dxa"/>
          </w:tcPr>
          <w:p w:rsidR="00437ED2" w:rsidRDefault="00C86A2E" w:rsidP="008A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7ED2" w:rsidTr="008A471C">
        <w:tc>
          <w:tcPr>
            <w:tcW w:w="6480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вибіркових компонентів:</w:t>
            </w:r>
          </w:p>
        </w:tc>
        <w:tc>
          <w:tcPr>
            <w:tcW w:w="3225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37ED2" w:rsidTr="008A471C">
        <w:tc>
          <w:tcPr>
            <w:tcW w:w="6480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Екзаменаційна сесія</w:t>
            </w:r>
          </w:p>
        </w:tc>
        <w:tc>
          <w:tcPr>
            <w:tcW w:w="3225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37ED2" w:rsidTr="008A471C">
        <w:tc>
          <w:tcPr>
            <w:tcW w:w="6480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3225" w:type="dxa"/>
            <w:gridSpan w:val="2"/>
          </w:tcPr>
          <w:p w:rsidR="00437ED2" w:rsidRDefault="00C86A2E" w:rsidP="008A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</w:tbl>
    <w:p w:rsidR="00437ED2" w:rsidRDefault="00437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 w:rsidP="008A47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471C" w:rsidRDefault="008A471C" w:rsidP="008A471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8A471C" w:rsidRDefault="008A471C" w:rsidP="008A47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C86A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Структурно–логічна схема </w:t>
      </w:r>
    </w:p>
    <w:p w:rsidR="00437ED2" w:rsidRDefault="00C86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викладання дисциплін нормативної частини ОПП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ED2" w:rsidRDefault="00C86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(див.стор.18)</w:t>
      </w:r>
    </w:p>
    <w:p w:rsidR="00437ED2" w:rsidRDefault="00437E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D2" w:rsidRDefault="00C86A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Форма атестації здобувачів вищої освіти</w:t>
      </w:r>
    </w:p>
    <w:p w:rsidR="00437ED2" w:rsidRDefault="00C86A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навчання передбачено виконання в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семестрі курсово</w:t>
      </w:r>
      <w:r>
        <w:rPr>
          <w:rFonts w:ascii="Times New Roman" w:eastAsia="Times New Roman" w:hAnsi="Times New Roman" w:cs="Times New Roman"/>
          <w:sz w:val="28"/>
          <w:szCs w:val="28"/>
        </w:rPr>
        <w:t>го проєкту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обладнання виробництва, в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семестрі </w:t>
      </w:r>
      <w:r>
        <w:rPr>
          <w:rFonts w:ascii="Times New Roman" w:eastAsia="Times New Roman" w:hAnsi="Times New Roman" w:cs="Times New Roman"/>
          <w:sz w:val="28"/>
          <w:szCs w:val="28"/>
        </w:rPr>
        <w:t>курсового проєкту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технології виробництва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ED2" w:rsidRDefault="00C86A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випускників освітньої програми «Трикотажні вироби» в рамках спеціальності 182 «Технології легкої промисловості» проводиться у формі 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исту кваліфікаційної дипломної роботи та завершується видачею документу встановленого державного зразка про присвоєння освітнього рівня «фаховий молодший бакалавр з технологій легкої промисловості» з кваліфікацією технік-технолог (текстильна та легка проми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словість).</w:t>
      </w:r>
    </w:p>
    <w:p w:rsidR="00437ED2" w:rsidRDefault="00C86A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 здійснюється відкрито і публічно.</w:t>
      </w:r>
    </w:p>
    <w:p w:rsidR="00437ED2" w:rsidRDefault="00437E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ED2" w:rsidRDefault="00437E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ED2" w:rsidRDefault="00437E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7ED2">
          <w:pgSz w:w="11906" w:h="16838"/>
          <w:pgMar w:top="1134" w:right="850" w:bottom="1134" w:left="1560" w:header="567" w:footer="567" w:gutter="0"/>
          <w:cols w:space="720"/>
        </w:sectPr>
      </w:pPr>
    </w:p>
    <w:p w:rsidR="00437ED2" w:rsidRDefault="00C86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Матриця відповідності програмних компетентностей компонентам освітньої програми</w:t>
      </w:r>
    </w:p>
    <w:p w:rsidR="00437ED2" w:rsidRDefault="0043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1610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37ED2">
        <w:trPr>
          <w:cantSplit/>
          <w:trHeight w:val="1134"/>
        </w:trPr>
        <w:tc>
          <w:tcPr>
            <w:tcW w:w="806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4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6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7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8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11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12</w:t>
            </w:r>
          </w:p>
        </w:tc>
        <w:tc>
          <w:tcPr>
            <w:tcW w:w="424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13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14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15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16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17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18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19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20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21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22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23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24</w:t>
            </w:r>
          </w:p>
        </w:tc>
        <w:tc>
          <w:tcPr>
            <w:tcW w:w="424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25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26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27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28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29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30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1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2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3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4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5</w:t>
            </w:r>
          </w:p>
        </w:tc>
        <w:tc>
          <w:tcPr>
            <w:tcW w:w="425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6</w:t>
            </w:r>
          </w:p>
        </w:tc>
      </w:tr>
      <w:tr w:rsidR="00437ED2">
        <w:trPr>
          <w:cantSplit/>
          <w:trHeight w:val="285"/>
        </w:trPr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ІК1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ЗК2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ЗК4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ЗК5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ЗК6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ЗК7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ЗК8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ФК2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ФК3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ФК4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ФК5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ФК6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ФК9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D2">
        <w:tc>
          <w:tcPr>
            <w:tcW w:w="806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C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ED2" w:rsidRDefault="00437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437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ED2" w:rsidRDefault="00C86A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Матриця забезпечення програмних результатів </w:t>
      </w:r>
    </w:p>
    <w:p w:rsidR="00437ED2" w:rsidRDefault="00437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52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</w:tblGrid>
      <w:tr w:rsidR="00437ED2">
        <w:trPr>
          <w:cantSplit/>
          <w:trHeight w:val="1134"/>
        </w:trPr>
        <w:tc>
          <w:tcPr>
            <w:tcW w:w="959" w:type="dxa"/>
          </w:tcPr>
          <w:p w:rsidR="00437ED2" w:rsidRDefault="00437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4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6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7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8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11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12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13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14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15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16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17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18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19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20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21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22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23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24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25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26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27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28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29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30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1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2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3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4</w:t>
            </w:r>
          </w:p>
        </w:tc>
        <w:tc>
          <w:tcPr>
            <w:tcW w:w="397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5</w:t>
            </w:r>
          </w:p>
        </w:tc>
        <w:tc>
          <w:tcPr>
            <w:tcW w:w="398" w:type="dxa"/>
          </w:tcPr>
          <w:p w:rsidR="00437ED2" w:rsidRDefault="00C86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6</w:t>
            </w: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2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3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4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5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6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7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8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9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10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11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12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13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14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15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16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17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D2">
        <w:tc>
          <w:tcPr>
            <w:tcW w:w="959" w:type="dxa"/>
          </w:tcPr>
          <w:p w:rsidR="00437ED2" w:rsidRDefault="00C86A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ПРН 18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C86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437ED2" w:rsidRDefault="00437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7ED2" w:rsidRDefault="00437E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37ED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437ED2" w:rsidRDefault="00437ED2"/>
    <w:p w:rsidR="00437ED2" w:rsidRDefault="00C86A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Структурно-логічна схема викладання дисциплін нормативної частини ОПП</w:t>
      </w:r>
    </w:p>
    <w:p w:rsidR="00437ED2" w:rsidRDefault="00C86A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220200" cy="50879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087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37ED2">
      <w:pgSz w:w="16838" w:h="11906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2E" w:rsidRDefault="00C86A2E">
      <w:pPr>
        <w:spacing w:after="0" w:line="240" w:lineRule="auto"/>
      </w:pPr>
      <w:r>
        <w:separator/>
      </w:r>
    </w:p>
  </w:endnote>
  <w:endnote w:type="continuationSeparator" w:id="0">
    <w:p w:rsidR="00C86A2E" w:rsidRDefault="00C8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D2" w:rsidRDefault="00C86A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471C">
      <w:rPr>
        <w:color w:val="000000"/>
      </w:rPr>
      <w:fldChar w:fldCharType="separate"/>
    </w:r>
    <w:r w:rsidR="00F154C7">
      <w:rPr>
        <w:noProof/>
        <w:color w:val="000000"/>
      </w:rPr>
      <w:t>15</w:t>
    </w:r>
    <w:r>
      <w:rPr>
        <w:color w:val="000000"/>
      </w:rPr>
      <w:fldChar w:fldCharType="end"/>
    </w:r>
  </w:p>
  <w:p w:rsidR="00437ED2" w:rsidRDefault="00C86A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6962775</wp:posOffset>
              </wp:positionH>
              <wp:positionV relativeFrom="paragraph">
                <wp:posOffset>166408756</wp:posOffset>
              </wp:positionV>
              <wp:extent cx="2489835" cy="27178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5845" y="3648873"/>
                        <a:ext cx="248031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37ED2" w:rsidRDefault="00C86A2E">
                          <w:pPr>
                            <w:spacing w:after="0" w:line="240" w:lineRule="auto"/>
                            <w:ind w:left="-141" w:right="-231" w:hanging="283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Обов’язкові компоненти освітньої програми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6962775</wp:posOffset>
              </wp:positionH>
              <wp:positionV relativeFrom="paragraph">
                <wp:posOffset>166408756</wp:posOffset>
              </wp:positionV>
              <wp:extent cx="2489835" cy="2717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835" cy="271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2E" w:rsidRDefault="00C86A2E">
      <w:pPr>
        <w:spacing w:after="0" w:line="240" w:lineRule="auto"/>
      </w:pPr>
      <w:r>
        <w:separator/>
      </w:r>
    </w:p>
  </w:footnote>
  <w:footnote w:type="continuationSeparator" w:id="0">
    <w:p w:rsidR="00C86A2E" w:rsidRDefault="00C8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837"/>
    <w:multiLevelType w:val="multilevel"/>
    <w:tmpl w:val="5D9218F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 w15:restartNumberingAfterBreak="0">
    <w:nsid w:val="1B471DF6"/>
    <w:multiLevelType w:val="multilevel"/>
    <w:tmpl w:val="312024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A45916"/>
    <w:multiLevelType w:val="multilevel"/>
    <w:tmpl w:val="F05A521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4A38A8"/>
    <w:multiLevelType w:val="multilevel"/>
    <w:tmpl w:val="865634A0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D2"/>
    <w:rsid w:val="00437ED2"/>
    <w:rsid w:val="008A471C"/>
    <w:rsid w:val="00C86A2E"/>
    <w:rsid w:val="00F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6086"/>
  <w15:docId w15:val="{2C230D17-027C-46EA-8884-ECF7AEA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8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6576A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39"/>
    <w:rsid w:val="00B657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6576A"/>
  </w:style>
  <w:style w:type="character" w:customStyle="1" w:styleId="a6">
    <w:name w:val="Основной текст_"/>
    <w:basedOn w:val="a0"/>
    <w:link w:val="20"/>
    <w:rsid w:val="00B657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6"/>
    <w:rsid w:val="00B6576A"/>
    <w:pPr>
      <w:widowControl w:val="0"/>
      <w:shd w:val="clear" w:color="auto" w:fill="FFFFFF"/>
      <w:spacing w:before="240" w:after="0" w:line="317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1"/>
    <w:basedOn w:val="a6"/>
    <w:rsid w:val="00B65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6"/>
    <w:rsid w:val="00B65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7">
    <w:name w:val="Основной текст + Полужирный"/>
    <w:basedOn w:val="a6"/>
    <w:rsid w:val="00B65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styleId="a8">
    <w:name w:val="header"/>
    <w:basedOn w:val="a"/>
    <w:link w:val="a9"/>
    <w:uiPriority w:val="99"/>
    <w:unhideWhenUsed/>
    <w:rsid w:val="00B6576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B6576A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B6576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B6576A"/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B6576A"/>
    <w:rPr>
      <w:color w:val="0000FF" w:themeColor="hyperlink"/>
      <w:u w:val="single"/>
    </w:rPr>
  </w:style>
  <w:style w:type="paragraph" w:customStyle="1" w:styleId="Default">
    <w:name w:val="Default"/>
    <w:rsid w:val="00B65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6576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B6576A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B6576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E1Qe8cw069ayZLVi7iHAF0dzIw==">CgMxLjAyCGguZ2pkZ3hzMgloLjMwajB6bGwyCWguMWZvYjl0ZTgAciExeUMyeEcwYlVJNUxWSkpFN09xOGtWenV5Rmt4YmVNZnY=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Чорногор</dc:creator>
  <cp:lastModifiedBy>Oksana</cp:lastModifiedBy>
  <cp:revision>3</cp:revision>
  <cp:lastPrinted>2023-11-14T09:52:00Z</cp:lastPrinted>
  <dcterms:created xsi:type="dcterms:W3CDTF">2023-11-14T09:52:00Z</dcterms:created>
  <dcterms:modified xsi:type="dcterms:W3CDTF">2023-11-14T09:52:00Z</dcterms:modified>
</cp:coreProperties>
</file>